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2F" w:rsidRDefault="00D8722F" w:rsidP="00D8722F">
      <w:pPr>
        <w:pStyle w:val="a3"/>
        <w:adjustRightInd w:val="0"/>
        <w:spacing w:before="0" w:beforeAutospacing="0" w:after="0" w:afterAutospacing="0"/>
        <w:jc w:val="both"/>
        <w:rPr>
          <w:rFonts w:ascii="黑体" w:eastAsia="黑体"/>
          <w:sz w:val="30"/>
        </w:rPr>
      </w:pPr>
    </w:p>
    <w:p w:rsidR="00D8722F" w:rsidRDefault="00D8722F" w:rsidP="00D8722F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黑体" w:cs="楷体_GB2312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黑体" w:cs="楷体_GB2312" w:hint="eastAsia"/>
          <w:color w:val="000000"/>
          <w:kern w:val="0"/>
          <w:sz w:val="40"/>
          <w:szCs w:val="40"/>
        </w:rPr>
        <w:t>河南省高等学校合格基层教学组织建设标准</w:t>
      </w:r>
    </w:p>
    <w:p w:rsidR="00D8722F" w:rsidRDefault="00D8722F" w:rsidP="00D8722F">
      <w:pPr>
        <w:autoSpaceDE w:val="0"/>
        <w:autoSpaceDN w:val="0"/>
        <w:adjustRightInd w:val="0"/>
        <w:jc w:val="center"/>
        <w:rPr>
          <w:rFonts w:ascii="楷体_GB2312" w:eastAsia="楷体_GB2312" w:hAnsi="黑体" w:cs="楷体_GB2312"/>
          <w:color w:val="000000"/>
          <w:kern w:val="0"/>
        </w:rPr>
      </w:pPr>
      <w:r>
        <w:rPr>
          <w:rFonts w:ascii="楷体_GB2312" w:eastAsia="楷体_GB2312" w:hAnsi="黑体" w:cs="楷体_GB2312" w:hint="eastAsia"/>
          <w:color w:val="000000"/>
          <w:kern w:val="0"/>
        </w:rPr>
        <w:t>（试行）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709"/>
        <w:gridCol w:w="7414"/>
      </w:tblGrid>
      <w:tr w:rsidR="00D8722F" w:rsidTr="00170817">
        <w:trPr>
          <w:trHeight w:val="3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指标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分值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指标内涵</w:t>
            </w:r>
          </w:p>
        </w:tc>
      </w:tr>
      <w:tr w:rsidR="00D8722F" w:rsidTr="00170817">
        <w:trPr>
          <w:trHeight w:val="94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规章制度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具有较为完善的议事决策、教学组织与管理、教研活动、听课评议、青年教师培养、教学督导、教学质量评价等基本管理制度，发展目标和年度计划较为明确具体、可操作性强。</w:t>
            </w:r>
          </w:p>
        </w:tc>
      </w:tr>
      <w:tr w:rsidR="00D8722F" w:rsidTr="00170817">
        <w:trPr>
          <w:trHeight w:val="152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队伍建设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坚持立德树人，自觉遵守《高等学校教师职业道德规范》，师德师风良好，未发生有损教师职业声誉的行为；负责人具有高级职称，教学管理经验丰富，享有额外津贴或减免课时量；团队规模原则上30人以下，成员年龄、学历、职称、学</w:t>
            </w:r>
            <w:proofErr w:type="gramStart"/>
            <w:r>
              <w:rPr>
                <w:rFonts w:ascii="仿宋_GB2312" w:hAnsi="宋体" w:hint="eastAsia"/>
                <w:kern w:val="0"/>
                <w:sz w:val="21"/>
                <w:szCs w:val="21"/>
              </w:rPr>
              <w:t>缘结构</w:t>
            </w:r>
            <w:proofErr w:type="gramEnd"/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合理；教师传帮带机制健全，新入职教师均经过20天以上系统培训并配有指导教师；高职院校专任教师“双师型”教师比例达到50%。</w:t>
            </w:r>
          </w:p>
        </w:tc>
      </w:tr>
      <w:tr w:rsidR="00D8722F" w:rsidTr="00170817">
        <w:trPr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教学</w:t>
            </w:r>
          </w:p>
          <w:p w:rsidR="00D8722F" w:rsidRDefault="00D8722F" w:rsidP="00170817"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组织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15分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根据人才培养方案和教学计划，组织落实备课、授课、课程设计、实验实习、考试考查、毕业论文或设计等教学环节各项任务，运行有序，档案资料齐全；课堂教学规范，教学纪律严格，连续2年无重大教学事故；建立有教学评价和质量分析反馈机制；每学年教授为本、专科生上课率100%；</w:t>
            </w:r>
          </w:p>
        </w:tc>
      </w:tr>
      <w:tr w:rsidR="00D8722F" w:rsidTr="00170817">
        <w:trPr>
          <w:trHeight w:val="111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课程教材建设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课程体系符合专业发展，有规范的课程建设规划、教学大纲和课程标准，课程内容及时更新；严格执行学校教材选用制度；推进在线开放课程、</w:t>
            </w:r>
            <w:proofErr w:type="gramStart"/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微课的</w:t>
            </w:r>
            <w:proofErr w:type="gramEnd"/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开发与应用，信息化教学资源丰富。</w:t>
            </w:r>
          </w:p>
        </w:tc>
      </w:tr>
      <w:tr w:rsidR="00D8722F" w:rsidTr="00170817">
        <w:trPr>
          <w:trHeight w:val="110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教学研究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15分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承担有校级及以上教改项目，参与教师占比达到60%；教师人均·学年发表教研论文达0.2篇；每4周开展1次集体教育教学研究活动；教师人均·学年4次以上相互听课；每位专任教师每2学年参加1次以上校外教学研讨会议。</w:t>
            </w:r>
          </w:p>
        </w:tc>
      </w:tr>
      <w:tr w:rsidR="00D8722F" w:rsidTr="00170817">
        <w:trPr>
          <w:trHeight w:val="95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专业建设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制定或落实专业建设规划，定期修订完善人才培养方案，达到国家各专业类教学质量标准；行业企业多种形式参与专业建设；课程类、实践类等基层教学组织有效发挥在专业评估、专业认证、专业建设中的重要作用。</w:t>
            </w:r>
          </w:p>
        </w:tc>
      </w:tr>
      <w:tr w:rsidR="00D8722F" w:rsidTr="00170817">
        <w:trPr>
          <w:trHeight w:val="949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实践教学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科学制定实践教学方案，规范设置实践教学环节，有效开展课内实践教学和校外实习实训，实验实训课程开课率及学生覆盖率符合规定；开展创新创业教育。</w:t>
            </w:r>
          </w:p>
        </w:tc>
      </w:tr>
      <w:tr w:rsidR="00D8722F" w:rsidTr="00170817">
        <w:trPr>
          <w:trHeight w:val="69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条件保障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设有专项经费，教师人均</w:t>
            </w:r>
            <w:r>
              <w:rPr>
                <w:rFonts w:ascii="仿宋_GB2312" w:hAnsi="宋体" w:hint="cs"/>
                <w:kern w:val="0"/>
                <w:sz w:val="21"/>
                <w:szCs w:val="21"/>
                <w:cs/>
              </w:rPr>
              <w:t>•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年度运行经费1000元以上，有固定的办公场所、教学资料档案室和相关办公设施，人均教学办公面积在</w:t>
            </w:r>
            <w:smartTag w:uri="urn:schemas-microsoft-com:office:smarttags" w:element="chmetcnv">
              <w:smartTagPr>
                <w:attr w:name="UnitName" w:val="平方米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hAnsi="宋体" w:hint="eastAsia"/>
                  <w:kern w:val="0"/>
                  <w:sz w:val="21"/>
                  <w:szCs w:val="21"/>
                </w:rPr>
                <w:t>2平方米</w:t>
              </w:r>
            </w:smartTag>
            <w:r>
              <w:rPr>
                <w:rFonts w:ascii="仿宋_GB2312" w:hAnsi="宋体" w:hint="eastAsia"/>
                <w:kern w:val="0"/>
                <w:sz w:val="21"/>
                <w:szCs w:val="21"/>
              </w:rPr>
              <w:t>以上。</w:t>
            </w:r>
          </w:p>
        </w:tc>
      </w:tr>
      <w:tr w:rsidR="00D8722F" w:rsidTr="00170817">
        <w:trPr>
          <w:trHeight w:val="95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人才培养能力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F" w:rsidRDefault="00D8722F" w:rsidP="00170817"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教师评教良好，在校级以上教师讲课大赛成绩优异，指导学生在创新创业大赛、职业技能大赛、学科专业竞赛等赛项获得校级以上奖项或公开发表论文；毕业生就业率较高。</w:t>
            </w:r>
          </w:p>
        </w:tc>
      </w:tr>
    </w:tbl>
    <w:p w:rsidR="00D8722F" w:rsidRDefault="00D8722F" w:rsidP="00D8722F">
      <w:pPr>
        <w:snapToGrid w:val="0"/>
        <w:rPr>
          <w:rFonts w:ascii="黑体" w:eastAsia="黑体"/>
          <w:sz w:val="28"/>
          <w:szCs w:val="28"/>
        </w:rPr>
      </w:pPr>
    </w:p>
    <w:p w:rsidR="00B36FCB" w:rsidRPr="00D8722F" w:rsidRDefault="00B04F1B"/>
    <w:sectPr w:rsidR="00B36FCB" w:rsidRPr="00D8722F" w:rsidSect="008C2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F1B" w:rsidRDefault="00B04F1B" w:rsidP="00B04F1B">
      <w:r>
        <w:separator/>
      </w:r>
    </w:p>
  </w:endnote>
  <w:endnote w:type="continuationSeparator" w:id="0">
    <w:p w:rsidR="00B04F1B" w:rsidRDefault="00B04F1B" w:rsidP="00B0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F1B" w:rsidRDefault="00B04F1B" w:rsidP="00B04F1B">
      <w:r>
        <w:separator/>
      </w:r>
    </w:p>
  </w:footnote>
  <w:footnote w:type="continuationSeparator" w:id="0">
    <w:p w:rsidR="00B04F1B" w:rsidRDefault="00B04F1B" w:rsidP="00B04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22F"/>
    <w:rsid w:val="00495EB9"/>
    <w:rsid w:val="008C2586"/>
    <w:rsid w:val="00A155D3"/>
    <w:rsid w:val="00B04F1B"/>
    <w:rsid w:val="00C27F4C"/>
    <w:rsid w:val="00CE2719"/>
    <w:rsid w:val="00D8722F"/>
    <w:rsid w:val="00DA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2F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72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B04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4F1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4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4F1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louhongli</dc:creator>
  <cp:lastModifiedBy>louhongli</cp:lastModifiedBy>
  <cp:revision>2</cp:revision>
  <dcterms:created xsi:type="dcterms:W3CDTF">2018-09-25T12:58:00Z</dcterms:created>
  <dcterms:modified xsi:type="dcterms:W3CDTF">2018-09-25T13:12:00Z</dcterms:modified>
</cp:coreProperties>
</file>