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B5" w:rsidRPr="00C611D3" w:rsidRDefault="00CA3CB5" w:rsidP="00CA3CB5">
      <w:pPr>
        <w:jc w:val="center"/>
        <w:rPr>
          <w:rFonts w:ascii="方正小标宋简体" w:eastAsia="方正小标宋简体"/>
        </w:rPr>
      </w:pPr>
      <w:r w:rsidRPr="00C611D3">
        <w:rPr>
          <w:rFonts w:ascii="方正小标宋简体" w:eastAsia="方正小标宋简体" w:hint="eastAsia"/>
          <w:sz w:val="36"/>
          <w:szCs w:val="36"/>
        </w:rPr>
        <w:t>主讲本科课程的教授占教授总数的比例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2694"/>
      </w:tblGrid>
      <w:tr w:rsidR="00CA3CB5" w:rsidRPr="00CA3CB5" w:rsidTr="00EC4F05">
        <w:trPr>
          <w:trHeight w:val="519"/>
        </w:trPr>
        <w:tc>
          <w:tcPr>
            <w:tcW w:w="2972" w:type="dxa"/>
            <w:vAlign w:val="center"/>
            <w:hideMark/>
          </w:tcPr>
          <w:p w:rsidR="002013C8" w:rsidRPr="00B23234" w:rsidRDefault="002013C8" w:rsidP="00CA3CB5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专业名称</w:t>
            </w:r>
          </w:p>
        </w:tc>
        <w:tc>
          <w:tcPr>
            <w:tcW w:w="1418" w:type="dxa"/>
            <w:vAlign w:val="center"/>
            <w:hideMark/>
          </w:tcPr>
          <w:p w:rsidR="002013C8" w:rsidRPr="00B23234" w:rsidRDefault="002013C8" w:rsidP="00CA3CB5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主讲本科课程教授人数</w:t>
            </w:r>
          </w:p>
        </w:tc>
        <w:tc>
          <w:tcPr>
            <w:tcW w:w="1275" w:type="dxa"/>
            <w:vAlign w:val="center"/>
            <w:hideMark/>
          </w:tcPr>
          <w:p w:rsidR="002013C8" w:rsidRPr="00B23234" w:rsidRDefault="002013C8" w:rsidP="00CA3CB5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教授总人数</w:t>
            </w:r>
          </w:p>
        </w:tc>
        <w:tc>
          <w:tcPr>
            <w:tcW w:w="2694" w:type="dxa"/>
            <w:vAlign w:val="center"/>
            <w:hideMark/>
          </w:tcPr>
          <w:p w:rsidR="002013C8" w:rsidRPr="00B23234" w:rsidRDefault="002013C8" w:rsidP="00CA3CB5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主讲本科课程的教授占教授总数的比例（</w:t>
            </w:r>
            <w:r w:rsidRPr="00B23234">
              <w:rPr>
                <w:rFonts w:hint="eastAsia"/>
                <w:b/>
              </w:rPr>
              <w:t>%</w:t>
            </w:r>
            <w:r w:rsidRPr="00B23234">
              <w:rPr>
                <w:rFonts w:hint="eastAsia"/>
                <w:b/>
              </w:rPr>
              <w:t>）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安全工程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消防工程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材料成型及控制工程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材料化学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材料科学与工程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82.35%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新能源材料与器件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财务管理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国际经济与贸易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会计学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金融学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测绘工程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85.71%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地理信息科学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人文地理与城乡规划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土地资源管理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遥感科学与技术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自然地理与资源环境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电气工程及其自动化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轨道交通信号与控制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机器人工程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自动化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工商管理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71.43%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旅游管理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人力资源管理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化学工程与工艺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83.33%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矿物加工工程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能源化学工程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应用化学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储能科学与工程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测控技术与仪器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车辆工程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机械电子工程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机械设计制造及其自动化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86.96%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能源与动力工程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计算机科学与技术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物联网工程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产品设计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城乡规划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工业设计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环境设计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视觉传达设计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采矿工程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71.43%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交通工程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新能源科学与工程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智能采矿工程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软件工程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数据科学与大数据技术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网络工程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数学与应用数学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信息与计算科学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社会体育指导与管理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武术与民族传统体育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城市地下空间工程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66.67%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工程力学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建筑环境与能源应用工程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土木工程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76.92%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日语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英语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法学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广告学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汉语言文学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85.71%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电子信息工程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光电信息科学与工程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通信工程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微电子科学与工程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应用物理学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护理学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临床医学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药学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舞蹈编导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音乐表演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公共事业管理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75.00%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管理科学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应急技术与管理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地球信息科学与技术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地质工程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85.71%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环境工程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85.71%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水文与水资源工程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60.00%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资源勘查工程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90.91%</w:t>
            </w:r>
          </w:p>
        </w:tc>
      </w:tr>
      <w:tr w:rsidR="001C1B19" w:rsidRPr="002013C8" w:rsidTr="001C1B19">
        <w:trPr>
          <w:trHeight w:val="399"/>
        </w:trPr>
        <w:tc>
          <w:tcPr>
            <w:tcW w:w="2972" w:type="dxa"/>
            <w:noWrap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生物技术</w:t>
            </w:r>
          </w:p>
        </w:tc>
        <w:tc>
          <w:tcPr>
            <w:tcW w:w="1418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2013C8" w:rsidTr="001A341A">
        <w:trPr>
          <w:trHeight w:val="399"/>
        </w:trPr>
        <w:tc>
          <w:tcPr>
            <w:tcW w:w="2972" w:type="dxa"/>
            <w:noWrap/>
            <w:vAlign w:val="center"/>
            <w:hideMark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1418" w:type="dxa"/>
            <w:hideMark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szCs w:val="21"/>
              </w:rPr>
              <w:t>297</w:t>
            </w:r>
          </w:p>
        </w:tc>
        <w:tc>
          <w:tcPr>
            <w:tcW w:w="1275" w:type="dxa"/>
            <w:hideMark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szCs w:val="21"/>
              </w:rPr>
              <w:t>360</w:t>
            </w:r>
          </w:p>
        </w:tc>
        <w:tc>
          <w:tcPr>
            <w:tcW w:w="2694" w:type="dxa"/>
            <w:hideMark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szCs w:val="21"/>
              </w:rPr>
              <w:t>82.50%</w:t>
            </w:r>
          </w:p>
        </w:tc>
      </w:tr>
    </w:tbl>
    <w:p w:rsidR="00C611D3" w:rsidRDefault="00C611D3"/>
    <w:p w:rsidR="00C611D3" w:rsidRDefault="00C611D3">
      <w:pPr>
        <w:widowControl/>
        <w:jc w:val="left"/>
      </w:pPr>
      <w:r>
        <w:br w:type="page"/>
      </w:r>
    </w:p>
    <w:p w:rsidR="00C611D3" w:rsidRPr="00C611D3" w:rsidRDefault="00C611D3" w:rsidP="00C611D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C611D3">
        <w:rPr>
          <w:rFonts w:ascii="方正小标宋简体" w:eastAsia="方正小标宋简体" w:hint="eastAsia"/>
          <w:sz w:val="36"/>
          <w:szCs w:val="36"/>
        </w:rPr>
        <w:lastRenderedPageBreak/>
        <w:t>教授讲授本科课程占课程总门次数的比例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489"/>
      </w:tblGrid>
      <w:tr w:rsidR="00C611D3" w:rsidRPr="00C611D3" w:rsidTr="00C611D3">
        <w:trPr>
          <w:trHeight w:val="579"/>
        </w:trPr>
        <w:tc>
          <w:tcPr>
            <w:tcW w:w="2547" w:type="dxa"/>
            <w:vAlign w:val="center"/>
            <w:hideMark/>
          </w:tcPr>
          <w:p w:rsidR="00C611D3" w:rsidRPr="00B23234" w:rsidRDefault="00C611D3" w:rsidP="00C611D3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  <w:vAlign w:val="center"/>
            <w:hideMark/>
          </w:tcPr>
          <w:p w:rsidR="00C611D3" w:rsidRPr="00B23234" w:rsidRDefault="00C611D3" w:rsidP="00C611D3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教授讲授本科课程门次数</w:t>
            </w:r>
          </w:p>
        </w:tc>
        <w:tc>
          <w:tcPr>
            <w:tcW w:w="1559" w:type="dxa"/>
            <w:vAlign w:val="center"/>
            <w:hideMark/>
          </w:tcPr>
          <w:p w:rsidR="00C611D3" w:rsidRPr="00B23234" w:rsidRDefault="00C611D3" w:rsidP="00C611D3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课程总门次数</w:t>
            </w:r>
          </w:p>
        </w:tc>
        <w:tc>
          <w:tcPr>
            <w:tcW w:w="2489" w:type="dxa"/>
            <w:vAlign w:val="center"/>
            <w:hideMark/>
          </w:tcPr>
          <w:p w:rsidR="00C611D3" w:rsidRPr="00B23234" w:rsidRDefault="00C611D3" w:rsidP="00C611D3">
            <w:pPr>
              <w:jc w:val="center"/>
              <w:rPr>
                <w:b/>
              </w:rPr>
            </w:pPr>
            <w:r w:rsidRPr="00B23234">
              <w:rPr>
                <w:rFonts w:hint="eastAsia"/>
                <w:b/>
              </w:rPr>
              <w:t>教授讲授本科课程占课程总门次数的比例（</w:t>
            </w:r>
            <w:r w:rsidRPr="00B23234">
              <w:rPr>
                <w:rFonts w:hint="eastAsia"/>
                <w:b/>
              </w:rPr>
              <w:t>%</w:t>
            </w:r>
            <w:r w:rsidRPr="00B23234">
              <w:rPr>
                <w:rFonts w:hint="eastAsia"/>
                <w:b/>
              </w:rPr>
              <w:t>）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安全工程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350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13.43%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消防工程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10.32%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材料成型及控制工程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14.06%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材料化学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0.00%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材料科学与工程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235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14.89%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新能源材料与器件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4.08%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财务管理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11.49%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国际经济与贸易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8.57%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会计学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14.04%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金融学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8.03%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测绘工程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217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17.97%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地理信息科学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12.82%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人文地理与城乡规划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14.55%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土地资源管理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16.67%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遥感科学与技术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6.94%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自然地理与资源环境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16.96%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电气工程及其自动化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376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8.51%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轨道交通信号与控制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13.99%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机器人工程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7.44%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自动化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779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12.71%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工商管理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247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8.10%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17.04%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10.60%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人力资源管理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11.36%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市场营销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7.32%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化学工程与工艺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13.61%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矿物加工工程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11.58%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能源化学工程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14.29%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应用化学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11.36%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储能科学与工程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测控技术与仪器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8.28%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车辆工程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12.73%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机械电子工程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182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8.79%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机械设计制造及其自动化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21.65%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能源与动力工程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6.52%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314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13.38%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物联网工程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19.61%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产品设计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7.50%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城乡规划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199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8.54%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工业设计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1.85%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环境设计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7.81%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5.45%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视觉传达设计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6.25%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采矿工程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268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19.40%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交通工程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8.84%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新能源科学与工程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15.63%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智能采矿工程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　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软件工程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9.91%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数据科学与大数据技术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4.55%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网络工程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6.54%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数学与应用数学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7.14%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信息与计算科学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0.00%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社会体育指导与管理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12.10%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武术与民族传统体育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89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23.60%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城市地下空间工程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9.68%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10.53%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工程力学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8.94%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建筑环境与能源应用工程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13.46%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土木工程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356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11.24%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日语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3.74%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英语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220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6.82%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法学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0.00%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广告学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3.90%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汉语言文学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6.02%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电子信息工程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9.18%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光电信息科学与工程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19.15%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通信工程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14.29%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微电子科学与工程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17.78%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应用物理学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4.76%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护理学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3.74%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2.70%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药学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142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2.82%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舞蹈编导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4.97%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音乐表演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733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3.41%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公共事业管理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8.73%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管理科学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9.68%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应急技术与管理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6.48%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地球信息科学与技术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11.49%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地质工程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13.56%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环境工程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156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12.82%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水文与水资源工程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147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14.97%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资源勘查工程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28.92%</w:t>
            </w:r>
          </w:p>
        </w:tc>
      </w:tr>
      <w:tr w:rsidR="001C1B19" w:rsidRPr="00C611D3" w:rsidTr="001C1B19">
        <w:trPr>
          <w:trHeight w:val="399"/>
        </w:trPr>
        <w:tc>
          <w:tcPr>
            <w:tcW w:w="2547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生物技术</w:t>
            </w:r>
          </w:p>
        </w:tc>
        <w:tc>
          <w:tcPr>
            <w:tcW w:w="1701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2489" w:type="dxa"/>
            <w:vAlign w:val="center"/>
          </w:tcPr>
          <w:p w:rsidR="001C1B19" w:rsidRPr="001C1B19" w:rsidRDefault="001C1B19" w:rsidP="001C1B1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8.11%</w:t>
            </w:r>
          </w:p>
        </w:tc>
      </w:tr>
      <w:tr w:rsidR="00C611D3" w:rsidRPr="00C611D3" w:rsidTr="00C611D3">
        <w:trPr>
          <w:trHeight w:val="399"/>
        </w:trPr>
        <w:tc>
          <w:tcPr>
            <w:tcW w:w="2547" w:type="dxa"/>
            <w:vAlign w:val="center"/>
            <w:hideMark/>
          </w:tcPr>
          <w:p w:rsidR="00C611D3" w:rsidRPr="001C1B19" w:rsidRDefault="00C611D3" w:rsidP="00C611D3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b/>
                <w:szCs w:val="21"/>
              </w:rPr>
              <w:t>合计</w:t>
            </w:r>
          </w:p>
        </w:tc>
        <w:tc>
          <w:tcPr>
            <w:tcW w:w="1701" w:type="dxa"/>
            <w:vAlign w:val="center"/>
            <w:hideMark/>
          </w:tcPr>
          <w:p w:rsidR="00C611D3" w:rsidRPr="001C1B19" w:rsidRDefault="001C1B19" w:rsidP="00C611D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1260</w:t>
            </w:r>
          </w:p>
        </w:tc>
        <w:tc>
          <w:tcPr>
            <w:tcW w:w="1559" w:type="dxa"/>
            <w:vAlign w:val="center"/>
            <w:hideMark/>
          </w:tcPr>
          <w:p w:rsidR="00C611D3" w:rsidRPr="001C1B19" w:rsidRDefault="001C1B19" w:rsidP="00C611D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11912</w:t>
            </w:r>
          </w:p>
        </w:tc>
        <w:tc>
          <w:tcPr>
            <w:tcW w:w="2489" w:type="dxa"/>
            <w:vAlign w:val="center"/>
            <w:hideMark/>
          </w:tcPr>
          <w:p w:rsidR="00C611D3" w:rsidRPr="001C1B19" w:rsidRDefault="001C1B19" w:rsidP="00C611D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C1B19">
              <w:rPr>
                <w:rFonts w:ascii="Times New Roman" w:eastAsia="仿宋_GB2312" w:hAnsi="Times New Roman" w:cs="Times New Roman"/>
                <w:color w:val="000000"/>
                <w:szCs w:val="21"/>
              </w:rPr>
              <w:t>10.58%</w:t>
            </w:r>
          </w:p>
        </w:tc>
      </w:tr>
    </w:tbl>
    <w:p w:rsidR="00DD3DC0" w:rsidRDefault="00DD3DC0"/>
    <w:sectPr w:rsidR="00DD3DC0" w:rsidSect="00CA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D4" w:rsidRDefault="00EE43D4" w:rsidP="002013C8">
      <w:r>
        <w:separator/>
      </w:r>
    </w:p>
  </w:endnote>
  <w:endnote w:type="continuationSeparator" w:id="0">
    <w:p w:rsidR="00EE43D4" w:rsidRDefault="00EE43D4" w:rsidP="0020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D4" w:rsidRDefault="00EE43D4" w:rsidP="002013C8">
      <w:r>
        <w:separator/>
      </w:r>
    </w:p>
  </w:footnote>
  <w:footnote w:type="continuationSeparator" w:id="0">
    <w:p w:rsidR="00EE43D4" w:rsidRDefault="00EE43D4" w:rsidP="0020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B3"/>
    <w:rsid w:val="000D3ED8"/>
    <w:rsid w:val="001C1B19"/>
    <w:rsid w:val="002013C8"/>
    <w:rsid w:val="00294EC1"/>
    <w:rsid w:val="005B384B"/>
    <w:rsid w:val="007A5048"/>
    <w:rsid w:val="009A30B3"/>
    <w:rsid w:val="00B23234"/>
    <w:rsid w:val="00C611D3"/>
    <w:rsid w:val="00CA3CB5"/>
    <w:rsid w:val="00DD3DC0"/>
    <w:rsid w:val="00EC4F05"/>
    <w:rsid w:val="00E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AA308"/>
  <w15:chartTrackingRefBased/>
  <w15:docId w15:val="{388BB4A6-0BB8-4B60-B894-01422B5D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3C8"/>
    <w:rPr>
      <w:sz w:val="18"/>
      <w:szCs w:val="18"/>
    </w:rPr>
  </w:style>
  <w:style w:type="table" w:styleId="a7">
    <w:name w:val="Table Grid"/>
    <w:basedOn w:val="a1"/>
    <w:uiPriority w:val="39"/>
    <w:rsid w:val="0020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508</Words>
  <Characters>2896</Characters>
  <Application>Microsoft Office Word</Application>
  <DocSecurity>0</DocSecurity>
  <Lines>24</Lines>
  <Paragraphs>6</Paragraphs>
  <ScaleCrop>false</ScaleCrop>
  <Company>微软中国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2</cp:revision>
  <dcterms:created xsi:type="dcterms:W3CDTF">2022-11-30T10:38:00Z</dcterms:created>
  <dcterms:modified xsi:type="dcterms:W3CDTF">2022-11-30T10:38:00Z</dcterms:modified>
</cp:coreProperties>
</file>